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21"/>
      </w:tblGrid>
      <w:tr w:rsidR="009D5D6C" w:rsidRPr="003341F5" w14:paraId="6C518BD8" w14:textId="77777777" w:rsidTr="00C47A32">
        <w:tc>
          <w:tcPr>
            <w:tcW w:w="6379" w:type="dxa"/>
          </w:tcPr>
          <w:p w14:paraId="37B34CD5" w14:textId="77777777" w:rsidR="009D5D6C" w:rsidRPr="003341F5" w:rsidRDefault="004901B2" w:rsidP="00C82216">
            <w:pPr>
              <w:pStyle w:val="Heading1"/>
            </w:pPr>
            <w:r>
              <w:rPr>
                <w:rStyle w:val="Heading1Char"/>
                <w:b/>
              </w:rPr>
              <w:t>Recomandări privind accesul la arhive, monitorizarea accesului la colecții dedicate Holocaustului – Zagreb 2023</w:t>
            </w:r>
          </w:p>
        </w:tc>
        <w:tc>
          <w:tcPr>
            <w:tcW w:w="2621" w:type="dxa"/>
          </w:tcPr>
          <w:p w14:paraId="749752D4" w14:textId="77777777" w:rsidR="009D5D6C" w:rsidRPr="003341F5" w:rsidRDefault="0083134B" w:rsidP="0021096F">
            <w:pPr>
              <w:jc w:val="right"/>
              <w:rPr>
                <w:b/>
                <w:bCs/>
              </w:rPr>
            </w:pPr>
            <w:r>
              <w:t>19 octombrie 2023</w:t>
            </w:r>
          </w:p>
        </w:tc>
      </w:tr>
    </w:tbl>
    <w:p w14:paraId="0F6ECEFD" w14:textId="77777777" w:rsidR="002D4629" w:rsidRPr="003341F5" w:rsidRDefault="002D4629" w:rsidP="004901B2">
      <w:pPr>
        <w:jc w:val="both"/>
        <w:rPr>
          <w:lang w:val="en-GB"/>
        </w:rPr>
      </w:pPr>
    </w:p>
    <w:p w14:paraId="29077A95" w14:textId="77777777" w:rsidR="004901B2" w:rsidRPr="003341F5" w:rsidRDefault="004901B2" w:rsidP="004901B2">
      <w:pPr>
        <w:jc w:val="both"/>
      </w:pPr>
      <w:r>
        <w:t xml:space="preserve">Luarea tuturor măsurilor necesare pentru a facilita accesul la arhive este unul dintre angajamentele importante pe care statele membre și le-au asumat în temeiul Declarației de la Stockholm. </w:t>
      </w:r>
    </w:p>
    <w:p w14:paraId="1EF66239" w14:textId="77777777" w:rsidR="004901B2" w:rsidRPr="003341F5" w:rsidRDefault="004901B2" w:rsidP="004901B2">
      <w:pPr>
        <w:jc w:val="both"/>
      </w:pPr>
      <w:r>
        <w:t>Accesul la materiale legate de Holocaust</w:t>
      </w:r>
      <w:r w:rsidR="007508A1" w:rsidRPr="003341F5">
        <w:rPr>
          <w:rStyle w:val="FootnoteReference"/>
          <w:lang w:val="en-GB"/>
        </w:rPr>
        <w:footnoteReference w:id="2"/>
      </w:r>
      <w:r>
        <w:t xml:space="preserve"> se află în centrul activității IHRA de mai bine de un deceniu și este o prioritate a IHRA. În conformitate cu Declarația ministerială din 2020, statele membre au subliniat importanța identificării, conservării și punerii la dispoziție a materialului arhivistic în scopuri educaționale, comemorative și de cercetare. În curând, supraviețuitorii nu vor mai fi printre noi, iar accesul la arhive legate de Holocaust se întrevede important pentru a păstra vie memoria Holocaustului. Acesta devine o chestiune de prioritate pentru guverne, parlamente și colecții arhivistice. Acest interes sporit pentru identificarea, conservarea, accesarea și utilizarea arhivelor ar trebui să contribuie la valorile umaniste și democratice în slujba păcii globale.  </w:t>
      </w:r>
    </w:p>
    <w:p w14:paraId="6D22F21B" w14:textId="77777777" w:rsidR="004901B2" w:rsidRPr="003341F5" w:rsidRDefault="004901B2" w:rsidP="004901B2">
      <w:pPr>
        <w:jc w:val="both"/>
      </w:pPr>
      <w:r>
        <w:t xml:space="preserve">Proiectul „Accesul la arhive” al IHRA (2014-2017) a urmărit să cartografieze gradul de accesibilitate la documentația referitoare la perioada Holocaustului și </w:t>
      </w:r>
      <w:hyperlink r:id="rId11" w:history="1">
        <w:r>
          <w:rPr>
            <w:rStyle w:val="Hyperlink"/>
          </w:rPr>
          <w:t>provocările pe care le întâmpină cercetătorii</w:t>
        </w:r>
      </w:hyperlink>
      <w:r>
        <w:t xml:space="preserve">. Proiectul a contribuit, de asemenea, la asigurarea faptului că excepțiile specifice documentelor referitoare la Holocaust sunt incluse în </w:t>
      </w:r>
      <w:hyperlink r:id="rId12" w:history="1">
        <w:r>
          <w:rPr>
            <w:rStyle w:val="Hyperlink"/>
          </w:rPr>
          <w:t>Regulamentul general privind protecția datelor al Uniunii Europene</w:t>
        </w:r>
      </w:hyperlink>
      <w:r>
        <w:t xml:space="preserve"> (GDPR). </w:t>
      </w:r>
    </w:p>
    <w:p w14:paraId="70AEE7FF" w14:textId="77777777" w:rsidR="004901B2" w:rsidRPr="003341F5" w:rsidRDefault="004901B2" w:rsidP="004901B2">
      <w:pPr>
        <w:jc w:val="both"/>
      </w:pPr>
      <w:r>
        <w:t>Proiectul „Monitorizarea accesului la colecții dedicate Holocaustului” (2020-2023) este un proiect de urmărire menit să ajute IHRA să cartografieze statutul juridic și practic al accesului la colecții dedicate Holocaustului și să monitorizeze problemele legate de acces. În timpul proiectului, echipa IHRA a luat legătura cu diverse părți interesate și a examinat și analizat cinci cazuri de testare.</w:t>
      </w:r>
      <w:r w:rsidRPr="003341F5">
        <w:rPr>
          <w:rStyle w:val="FootnoteReference"/>
          <w:lang w:val="en-GB"/>
        </w:rPr>
        <w:footnoteReference w:id="3"/>
      </w:r>
      <w:r>
        <w:t xml:space="preserve"> Următoarele recomandări reflectă activitatea generală și opiniile echipei proiectului, concluziile rapoartelor privind cazurile de testare și contribuțiile primite în cadrul diferitelor schimburi avute cu părțile interesate.</w:t>
      </w:r>
    </w:p>
    <w:p w14:paraId="01071AF3" w14:textId="77777777" w:rsidR="004901B2" w:rsidRPr="003341F5" w:rsidRDefault="004901B2" w:rsidP="004901B2">
      <w:pPr>
        <w:jc w:val="both"/>
      </w:pPr>
      <w:r>
        <w:t xml:space="preserve">Pentru a sprijini statele membre IHRA să își îndeplinească angajamentele de punere la dispoziție a materialului arhivistic, experții IHRA recomandă să se abordeze următoarele categorii de provocări:   </w:t>
      </w:r>
    </w:p>
    <w:p w14:paraId="08A192C1" w14:textId="77777777" w:rsidR="004901B2" w:rsidRPr="003341F5" w:rsidRDefault="004901B2" w:rsidP="00C82216">
      <w:pPr>
        <w:rPr>
          <w:lang w:val="en-GB"/>
        </w:rPr>
      </w:pPr>
    </w:p>
    <w:p w14:paraId="3987AB9D" w14:textId="77777777" w:rsidR="004901B2" w:rsidRPr="003341F5" w:rsidRDefault="004901B2" w:rsidP="004901B2">
      <w:pPr>
        <w:pStyle w:val="ListParagraph"/>
        <w:numPr>
          <w:ilvl w:val="0"/>
          <w:numId w:val="8"/>
        </w:numPr>
        <w:rPr>
          <w:b/>
          <w:bCs/>
        </w:rPr>
      </w:pPr>
      <w:r>
        <w:rPr>
          <w:b/>
        </w:rPr>
        <w:t>Arhive în situație de risc</w:t>
      </w:r>
    </w:p>
    <w:p w14:paraId="24CF7F8A" w14:textId="132BEFC3" w:rsidR="004901B2" w:rsidRPr="003341F5" w:rsidRDefault="004901B2" w:rsidP="004901B2">
      <w:r>
        <w:t xml:space="preserve">Sute de milioane de documente, filme, înregistrări și alte dovezi materiale ale Holocaustului sunt păstrate în arhive, muzee și alte depozite din întreaga lume. Cu toate acestea, numeroși factori pot amenința existența acestor </w:t>
      </w:r>
      <w:hyperlink r:id="rId13" w:history="1">
        <w:r>
          <w:rPr>
            <w:rStyle w:val="Hyperlink"/>
          </w:rPr>
          <w:t>materiale</w:t>
        </w:r>
      </w:hyperlink>
      <w:r>
        <w:t xml:space="preserve"> importante și accesul la acestea. În unele cazuri, aceste dovezi sunt în pericol iminent. Materialele în situație de risc pot include materiale tipărite, fotografice, video, audio, efemere, precum și materiale create pe suport digital. Există o serie de factori care pot influența situația de risc în care se află materialul arhivistic. </w:t>
      </w:r>
    </w:p>
    <w:p w14:paraId="475C96AB" w14:textId="77777777" w:rsidR="004901B2" w:rsidRPr="003341F5" w:rsidRDefault="004901B2" w:rsidP="004901B2">
      <w:r>
        <w:t>Care sunt cauzele care fac ca fondurile arhivistice să fie în situații de risc? Experții IHRA au identificat următoarele riscuri principale:</w:t>
      </w:r>
    </w:p>
    <w:p w14:paraId="460CE72D" w14:textId="77777777" w:rsidR="004901B2" w:rsidRPr="003341F5" w:rsidRDefault="004901B2" w:rsidP="004901B2">
      <w:pPr>
        <w:pStyle w:val="ListParagraph"/>
        <w:numPr>
          <w:ilvl w:val="0"/>
          <w:numId w:val="5"/>
        </w:numPr>
      </w:pPr>
      <w:r>
        <w:rPr>
          <w:b/>
          <w:bCs/>
        </w:rPr>
        <w:t>Condițiile de mediu</w:t>
      </w:r>
      <w:r>
        <w:t>: factorii de mediu, precum umiditatea, temperaturile ridicate, inundațiile sau rozătoarele și insectele, pun materialele originale în pericol iminent de distrugere. Aceste condiții pot să apară din cauza depozitării necorespunzătoare, a infestării cu rozătoare și insecte sau din cauza schimbărilor din mediu la nivel mai larg. De exemplu, toate materialele din unele zone geografice ar putea fi considerate în situație de risc din cauza probabilității de inundații, uragane sau alte condiții meteorologice extreme.</w:t>
      </w:r>
    </w:p>
    <w:p w14:paraId="780D8701" w14:textId="77777777" w:rsidR="004901B2" w:rsidRPr="003341F5" w:rsidRDefault="004901B2" w:rsidP="004901B2">
      <w:pPr>
        <w:pStyle w:val="ListParagraph"/>
        <w:numPr>
          <w:ilvl w:val="0"/>
          <w:numId w:val="5"/>
        </w:numPr>
      </w:pPr>
      <w:r>
        <w:rPr>
          <w:b/>
          <w:bCs/>
        </w:rPr>
        <w:t>Deciziile politice și incertitudinea politică</w:t>
      </w:r>
      <w:r>
        <w:t>: Problemele politice, politica guvernamentală și războiul pot face ca materiale istorice de importanță critică să devină inaccesibile și/sau de negăsit. Guvernele sunt responsabile de salvgardarea consemnărilor și a interesului public. Adesea, acestea sunt factorii de decizie cu privire la cine are acces la arhivele istorice, în special cele aflate sub autoritatea lor. Cu toate acestea, politicile și prioritățile liderilor care favorizează o anumită interpretare a dovezilor istorice pot fi și chiar au fost în detrimentul accesului la consemnări și dovezi. Este posibil ca, în unele cazuri, conflictele militare sau civile să fi avut ca efect distrugerea unor materiale arhivistice originale.</w:t>
      </w:r>
    </w:p>
    <w:p w14:paraId="3A013384" w14:textId="77777777" w:rsidR="004901B2" w:rsidRPr="003341F5" w:rsidRDefault="004901B2" w:rsidP="004901B2">
      <w:pPr>
        <w:pStyle w:val="ListParagraph"/>
        <w:numPr>
          <w:ilvl w:val="0"/>
          <w:numId w:val="5"/>
        </w:numPr>
      </w:pPr>
      <w:r>
        <w:rPr>
          <w:b/>
          <w:bCs/>
        </w:rPr>
        <w:t xml:space="preserve">Aspectele </w:t>
      </w:r>
      <w:proofErr w:type="spellStart"/>
      <w:r>
        <w:rPr>
          <w:b/>
          <w:bCs/>
        </w:rPr>
        <w:t>socio</w:t>
      </w:r>
      <w:proofErr w:type="spellEnd"/>
      <w:r>
        <w:rPr>
          <w:b/>
          <w:bCs/>
        </w:rPr>
        <w:t>-economice</w:t>
      </w:r>
      <w:r>
        <w:t xml:space="preserve">: Prioritățile comunității de a colecta și a documenta propria istorie pot să scadă, adesea din cauza lipsei de resurse pentru conservarea materialelor istorice importante sau din cauza insuficientelor cunoștințe privind bunele practici de arhivare. Arhivele provinciale și organizațiile comunitare care fac eforturi să susțină personalul și programele pot fi împiedicate să mențină condițiile necesare pentru conservarea materialelor. Deși ar putea dori cu disperare să își păstreze fondurile, unele depozite nu sunt pur și simplu în măsură să facă acest lucru. Arhivele, muzeele și alte instituții care nu sunt în măsură să își protejeze propriile fonduri, sau instituțiile aflate în pericol de închidere și de renunțare la materiale ar putea cauza pierderea unor materiale istorice importante și unicat. </w:t>
      </w:r>
    </w:p>
    <w:p w14:paraId="5B22160F" w14:textId="4054831A" w:rsidR="004901B2" w:rsidRPr="003341F5" w:rsidRDefault="004901B2" w:rsidP="004901B2">
      <w:pPr>
        <w:pStyle w:val="ListParagraph"/>
        <w:numPr>
          <w:ilvl w:val="0"/>
          <w:numId w:val="5"/>
        </w:numPr>
      </w:pPr>
      <w:r>
        <w:rPr>
          <w:b/>
          <w:bCs/>
        </w:rPr>
        <w:lastRenderedPageBreak/>
        <w:t xml:space="preserve">Medii de stocare </w:t>
      </w:r>
      <w:proofErr w:type="spellStart"/>
      <w:r>
        <w:rPr>
          <w:b/>
          <w:bCs/>
        </w:rPr>
        <w:t>nesustenabile</w:t>
      </w:r>
      <w:proofErr w:type="spellEnd"/>
      <w:r>
        <w:rPr>
          <w:b/>
          <w:bCs/>
        </w:rPr>
        <w:t xml:space="preserve"> în mod inerent</w:t>
      </w:r>
      <w:r>
        <w:t xml:space="preserve">: Materialele păstrate pe bandă magnetică, discuri optice (CD-uri și DVD-uri), ori filme </w:t>
      </w:r>
      <w:r w:rsidR="005B6D00">
        <w:t xml:space="preserve">pe pelicule </w:t>
      </w:r>
      <w:r>
        <w:t>din nitrat, sau care includ hârtie acidă, se degradează rapid și se pot pierde ușor pentru totdeauna. Aceste medii de stocare, care nu au fost niciodată făcute să dureze o veșnicie, sunt instabile în mod inerent și devin imposibil de citit destul de repede.</w:t>
      </w:r>
    </w:p>
    <w:p w14:paraId="45B525C0" w14:textId="77777777" w:rsidR="00292B44" w:rsidRPr="003341F5" w:rsidRDefault="00292B44" w:rsidP="004901B2">
      <w:pPr>
        <w:rPr>
          <w:lang w:val="en-GB"/>
        </w:rPr>
      </w:pPr>
    </w:p>
    <w:p w14:paraId="51760A98" w14:textId="77777777" w:rsidR="004901B2" w:rsidRPr="003341F5" w:rsidRDefault="004901B2" w:rsidP="004901B2">
      <w:r>
        <w:t xml:space="preserve">Accesul la arhive este o provocare comună, iar soluțiile pentru arhivele în situație de risc ar trebui să fie la nivel transnațional. </w:t>
      </w:r>
      <w:r>
        <w:rPr>
          <w:b/>
          <w:bCs/>
        </w:rPr>
        <w:t>Se fac următoarele recomandări</w:t>
      </w:r>
      <w:r>
        <w:t>:</w:t>
      </w:r>
    </w:p>
    <w:p w14:paraId="38814CE0" w14:textId="77777777" w:rsidR="004901B2" w:rsidRPr="003341F5" w:rsidRDefault="004901B2" w:rsidP="000D0838">
      <w:pPr>
        <w:pStyle w:val="ListParagraph"/>
        <w:numPr>
          <w:ilvl w:val="0"/>
          <w:numId w:val="6"/>
        </w:numPr>
      </w:pPr>
      <w:r>
        <w:t xml:space="preserve">Delegațiile IHRA să îndemne și să sprijine arhivele </w:t>
      </w:r>
      <w:r w:rsidR="000D0838" w:rsidRPr="000D0838">
        <w:t xml:space="preserve">să elaboreze </w:t>
      </w:r>
      <w:r>
        <w:rPr>
          <w:b/>
          <w:bCs/>
        </w:rPr>
        <w:t>proceduri</w:t>
      </w:r>
      <w:r>
        <w:t xml:space="preserve"> și măsuri </w:t>
      </w:r>
      <w:proofErr w:type="spellStart"/>
      <w:r>
        <w:rPr>
          <w:b/>
          <w:bCs/>
        </w:rPr>
        <w:t>proactive</w:t>
      </w:r>
      <w:proofErr w:type="spellEnd"/>
      <w:r>
        <w:t xml:space="preserve"> în caz de urgență, inclusiv </w:t>
      </w:r>
      <w:proofErr w:type="spellStart"/>
      <w:r>
        <w:t>prioritizarea</w:t>
      </w:r>
      <w:proofErr w:type="spellEnd"/>
      <w:r>
        <w:t xml:space="preserve"> colecțiilor.</w:t>
      </w:r>
    </w:p>
    <w:p w14:paraId="536EF72E" w14:textId="77777777" w:rsidR="004901B2" w:rsidRPr="003341F5" w:rsidRDefault="004901B2" w:rsidP="004901B2">
      <w:pPr>
        <w:pStyle w:val="ListParagraph"/>
        <w:numPr>
          <w:ilvl w:val="0"/>
          <w:numId w:val="6"/>
        </w:numPr>
      </w:pPr>
      <w:r>
        <w:t xml:space="preserve">Statele membre IHRA să acorde prioritate </w:t>
      </w:r>
      <w:r>
        <w:rPr>
          <w:b/>
          <w:bCs/>
        </w:rPr>
        <w:t>finanțării pentru digitalizare</w:t>
      </w:r>
      <w:r>
        <w:t xml:space="preserve"> ca formă de prezervare și acces, acordând atenție riscului enunțat mai sus în ceea ce privește utilizarea mediilor de stocare </w:t>
      </w:r>
      <w:proofErr w:type="spellStart"/>
      <w:r>
        <w:t>nesustenabile</w:t>
      </w:r>
      <w:proofErr w:type="spellEnd"/>
      <w:r>
        <w:t xml:space="preserve"> în mod inerent.</w:t>
      </w:r>
    </w:p>
    <w:p w14:paraId="630D7654" w14:textId="10775E87" w:rsidR="00496DEB" w:rsidRPr="003341F5" w:rsidRDefault="004901B2" w:rsidP="001E3ED3">
      <w:pPr>
        <w:pStyle w:val="ListParagraph"/>
        <w:numPr>
          <w:ilvl w:val="0"/>
          <w:numId w:val="6"/>
        </w:numPr>
      </w:pPr>
      <w:r>
        <w:t xml:space="preserve">Guvernele statelor membre IHRA </w:t>
      </w:r>
      <w:r>
        <w:rPr>
          <w:b/>
          <w:bCs/>
        </w:rPr>
        <w:t>să facă demersuri pentru conștientizare cu privire la bunele practici de arhivare și să asigure condiții mai bune de acces</w:t>
      </w:r>
      <w:r>
        <w:t xml:space="preserve"> la materialele arhivistice și de prezervare a acestora, asigurând finanțare și asistență corespunzătoare. Această </w:t>
      </w:r>
      <w:r w:rsidR="001E3ED3" w:rsidRPr="001E3ED3">
        <w:t xml:space="preserve">asistență este încurajată, de asemenea, pentru reducerea la minim a costurilor de utilizare a acestor colecții de către cercetătorii </w:t>
      </w:r>
      <w:r>
        <w:t>în materie de Holocaust, precum și de către muzeele și memorialele dedicate Holocaustului.</w:t>
      </w:r>
    </w:p>
    <w:p w14:paraId="16814D75" w14:textId="77777777" w:rsidR="00496DEB" w:rsidRPr="003341F5" w:rsidRDefault="00496DEB" w:rsidP="00C82216">
      <w:pPr>
        <w:rPr>
          <w:lang w:val="en-GB"/>
        </w:rPr>
      </w:pPr>
    </w:p>
    <w:p w14:paraId="79854C47" w14:textId="77777777" w:rsidR="00292B44" w:rsidRPr="003341F5" w:rsidRDefault="00292B44" w:rsidP="00C82216">
      <w:pPr>
        <w:rPr>
          <w:lang w:val="en-GB"/>
        </w:rPr>
      </w:pPr>
    </w:p>
    <w:p w14:paraId="09CC4AA4" w14:textId="77777777" w:rsidR="004901B2" w:rsidRPr="003341F5" w:rsidRDefault="004901B2" w:rsidP="004901B2">
      <w:pPr>
        <w:pStyle w:val="ListParagraph"/>
        <w:numPr>
          <w:ilvl w:val="0"/>
          <w:numId w:val="8"/>
        </w:numPr>
        <w:rPr>
          <w:b/>
          <w:bCs/>
        </w:rPr>
      </w:pPr>
      <w:r>
        <w:rPr>
          <w:b/>
        </w:rPr>
        <w:t>Punerea în aplicare a bunelor practici</w:t>
      </w:r>
    </w:p>
    <w:p w14:paraId="7D581904" w14:textId="77777777" w:rsidR="004901B2" w:rsidRPr="003341F5" w:rsidRDefault="004901B2" w:rsidP="004901B2">
      <w:r>
        <w:t>Trebuie să existe o înțelegere a faptului că arhivele diferă una de cealaltă în numeroase feluri.</w:t>
      </w:r>
    </w:p>
    <w:p w14:paraId="37C4AB6F" w14:textId="77777777" w:rsidR="004901B2" w:rsidRPr="003341F5" w:rsidRDefault="004901B2" w:rsidP="004901B2">
      <w:r>
        <w:rPr>
          <w:b/>
          <w:bCs/>
        </w:rPr>
        <w:t>Recomandăm introducerea următoarelor bune practici</w:t>
      </w:r>
      <w:r>
        <w:t xml:space="preserve"> în arhivele statului și alte entități arhivistice în ceea ce privește documentația legată de Holocaust:</w:t>
      </w:r>
    </w:p>
    <w:p w14:paraId="0EF19A44" w14:textId="77777777" w:rsidR="004901B2" w:rsidRPr="003341F5" w:rsidRDefault="004901B2" w:rsidP="00107900">
      <w:pPr>
        <w:pStyle w:val="ListParagraph"/>
        <w:numPr>
          <w:ilvl w:val="0"/>
          <w:numId w:val="9"/>
        </w:numPr>
      </w:pPr>
      <w:r>
        <w:t xml:space="preserve">Recomandăm ca </w:t>
      </w:r>
      <w:r>
        <w:rPr>
          <w:b/>
          <w:bCs/>
        </w:rPr>
        <w:t>digitalizarea</w:t>
      </w:r>
      <w:r>
        <w:t xml:space="preserve"> să devină o prioritate datorită rolului vital pe care îl joacă în promovarea accesului și în prezervare. </w:t>
      </w:r>
    </w:p>
    <w:p w14:paraId="65B7ED7B" w14:textId="77777777" w:rsidR="004901B2" w:rsidRPr="003341F5" w:rsidRDefault="004901B2" w:rsidP="00107900">
      <w:pPr>
        <w:pStyle w:val="ListParagraph"/>
        <w:numPr>
          <w:ilvl w:val="0"/>
          <w:numId w:val="9"/>
        </w:numPr>
      </w:pPr>
      <w:r>
        <w:t xml:space="preserve">Recomandăm ca </w:t>
      </w:r>
      <w:r>
        <w:rPr>
          <w:b/>
          <w:bCs/>
        </w:rPr>
        <w:t xml:space="preserve">standardizarea </w:t>
      </w:r>
      <w:proofErr w:type="spellStart"/>
      <w:r>
        <w:rPr>
          <w:b/>
          <w:bCs/>
        </w:rPr>
        <w:t>metadatelor</w:t>
      </w:r>
      <w:proofErr w:type="spellEnd"/>
      <w:r>
        <w:t xml:space="preserve"> să respecte principiile FAIR (</w:t>
      </w:r>
      <w:proofErr w:type="spellStart"/>
      <w:r>
        <w:rPr>
          <w:i/>
          <w:iCs/>
        </w:rPr>
        <w:t>Findable</w:t>
      </w:r>
      <w:proofErr w:type="spellEnd"/>
      <w:r>
        <w:rPr>
          <w:i/>
          <w:iCs/>
        </w:rPr>
        <w:t xml:space="preserve">, </w:t>
      </w:r>
      <w:proofErr w:type="spellStart"/>
      <w:r>
        <w:rPr>
          <w:i/>
          <w:iCs/>
        </w:rPr>
        <w:t>Accessible</w:t>
      </w:r>
      <w:proofErr w:type="spellEnd"/>
      <w:r>
        <w:rPr>
          <w:i/>
          <w:iCs/>
        </w:rPr>
        <w:t xml:space="preserve">, </w:t>
      </w:r>
      <w:proofErr w:type="spellStart"/>
      <w:r>
        <w:rPr>
          <w:i/>
          <w:iCs/>
        </w:rPr>
        <w:t>Interoperable</w:t>
      </w:r>
      <w:proofErr w:type="spellEnd"/>
      <w:r>
        <w:rPr>
          <w:i/>
          <w:iCs/>
        </w:rPr>
        <w:t xml:space="preserve"> </w:t>
      </w:r>
      <w:proofErr w:type="spellStart"/>
      <w:r>
        <w:rPr>
          <w:i/>
          <w:iCs/>
        </w:rPr>
        <w:t>and</w:t>
      </w:r>
      <w:proofErr w:type="spellEnd"/>
      <w:r>
        <w:rPr>
          <w:i/>
          <w:iCs/>
        </w:rPr>
        <w:t xml:space="preserve"> </w:t>
      </w:r>
      <w:proofErr w:type="spellStart"/>
      <w:r>
        <w:rPr>
          <w:i/>
          <w:iCs/>
        </w:rPr>
        <w:t>Reusable</w:t>
      </w:r>
      <w:proofErr w:type="spellEnd"/>
      <w:r>
        <w:t xml:space="preserve"> – Ușor de găsit, Accesibile, Interoperabile și Reutilizabile)</w:t>
      </w:r>
    </w:p>
    <w:p w14:paraId="5C1E6C29" w14:textId="77777777" w:rsidR="004901B2" w:rsidRPr="003341F5" w:rsidRDefault="004901B2" w:rsidP="00107900">
      <w:pPr>
        <w:pStyle w:val="ListParagraph"/>
        <w:numPr>
          <w:ilvl w:val="0"/>
          <w:numId w:val="9"/>
        </w:numPr>
      </w:pPr>
      <w:r>
        <w:t xml:space="preserve">Recomandăm </w:t>
      </w:r>
      <w:r>
        <w:rPr>
          <w:b/>
          <w:bCs/>
        </w:rPr>
        <w:t>înscrierea</w:t>
      </w:r>
      <w:r>
        <w:t xml:space="preserve"> în rețele profesionale și utilizarea instrumentelor existente, cum sunt cele oferite de </w:t>
      </w:r>
      <w:hyperlink r:id="rId14" w:history="1">
        <w:r>
          <w:rPr>
            <w:rStyle w:val="Hyperlink"/>
          </w:rPr>
          <w:t>EHRI</w:t>
        </w:r>
      </w:hyperlink>
      <w:r>
        <w:rPr>
          <w:rStyle w:val="Hyperlink"/>
        </w:rPr>
        <w:t xml:space="preserve">, </w:t>
      </w:r>
      <w:proofErr w:type="spellStart"/>
      <w:r>
        <w:rPr>
          <w:rStyle w:val="Hyperlink"/>
          <w:color w:val="auto"/>
          <w:u w:val="none"/>
        </w:rPr>
        <w:t>Arolsen</w:t>
      </w:r>
      <w:proofErr w:type="spellEnd"/>
      <w:r>
        <w:rPr>
          <w:rStyle w:val="Hyperlink"/>
          <w:color w:val="auto"/>
          <w:u w:val="none"/>
        </w:rPr>
        <w:t xml:space="preserve"> </w:t>
      </w:r>
      <w:proofErr w:type="spellStart"/>
      <w:r>
        <w:rPr>
          <w:rStyle w:val="Hyperlink"/>
          <w:color w:val="auto"/>
          <w:u w:val="none"/>
        </w:rPr>
        <w:t>Archives</w:t>
      </w:r>
      <w:proofErr w:type="spellEnd"/>
      <w:r>
        <w:rPr>
          <w:rStyle w:val="Hyperlink"/>
          <w:color w:val="auto"/>
          <w:u w:val="none"/>
        </w:rPr>
        <w:t xml:space="preserve"> și altele</w:t>
      </w:r>
      <w:r>
        <w:t>.</w:t>
      </w:r>
    </w:p>
    <w:p w14:paraId="162850FD" w14:textId="77777777" w:rsidR="004901B2" w:rsidRPr="003341F5" w:rsidRDefault="004901B2" w:rsidP="00107900">
      <w:pPr>
        <w:pStyle w:val="ListParagraph"/>
        <w:numPr>
          <w:ilvl w:val="0"/>
          <w:numId w:val="9"/>
        </w:numPr>
      </w:pPr>
      <w:r>
        <w:lastRenderedPageBreak/>
        <w:t xml:space="preserve">Recomandăm ca arhivele </w:t>
      </w:r>
      <w:r>
        <w:rPr>
          <w:b/>
          <w:bCs/>
        </w:rPr>
        <w:t>să adopte și să aplice în mod activ</w:t>
      </w:r>
      <w:r>
        <w:t xml:space="preserve"> </w:t>
      </w:r>
      <w:hyperlink r:id="rId15" w:history="1">
        <w:r>
          <w:rPr>
            <w:rStyle w:val="Hyperlink"/>
          </w:rPr>
          <w:t>Ghidul IHRA de identificare a documentației relevante pentru cercetarea Holocaustului, educație și memorie</w:t>
        </w:r>
      </w:hyperlink>
      <w:r>
        <w:t xml:space="preserve"> și să marcheze colecțiile legate de Holocaust.</w:t>
      </w:r>
    </w:p>
    <w:p w14:paraId="23B7C990" w14:textId="77777777" w:rsidR="004901B2" w:rsidRPr="003341F5" w:rsidRDefault="004901B2" w:rsidP="00107900">
      <w:pPr>
        <w:pStyle w:val="ListParagraph"/>
        <w:numPr>
          <w:ilvl w:val="0"/>
          <w:numId w:val="9"/>
        </w:numPr>
      </w:pPr>
      <w:r>
        <w:t xml:space="preserve">Recomandăm ca arhivele </w:t>
      </w:r>
      <w:r>
        <w:rPr>
          <w:b/>
          <w:bCs/>
        </w:rPr>
        <w:t>să traducă informațiile generale</w:t>
      </w:r>
      <w:r>
        <w:t xml:space="preserve"> privind accesul la materialele de pe website-</w:t>
      </w:r>
      <w:proofErr w:type="spellStart"/>
      <w:r>
        <w:t>ul</w:t>
      </w:r>
      <w:proofErr w:type="spellEnd"/>
      <w:r>
        <w:t xml:space="preserve"> lor în mai multe limbi, cu prioritate în limba engleză. </w:t>
      </w:r>
    </w:p>
    <w:p w14:paraId="5CBC5002" w14:textId="77777777" w:rsidR="00107900" w:rsidRPr="003341F5" w:rsidRDefault="004901B2" w:rsidP="00107900">
      <w:pPr>
        <w:pStyle w:val="ListParagraph"/>
        <w:numPr>
          <w:ilvl w:val="0"/>
          <w:numId w:val="9"/>
        </w:numPr>
      </w:pPr>
      <w:r>
        <w:t xml:space="preserve">Recomandăm ca arhivele </w:t>
      </w:r>
      <w:r>
        <w:rPr>
          <w:b/>
          <w:bCs/>
        </w:rPr>
        <w:t>să traducă instrumentele ajutătoare de căutare</w:t>
      </w:r>
      <w:r>
        <w:t xml:space="preserve"> pentru colecțiile în alte limbi, cu prioritate în limba engleză.</w:t>
      </w:r>
    </w:p>
    <w:p w14:paraId="3F564D7E" w14:textId="77777777" w:rsidR="00292B44" w:rsidRPr="003341F5" w:rsidRDefault="00292B44" w:rsidP="00292B44">
      <w:pPr>
        <w:pStyle w:val="ListParagraph"/>
        <w:rPr>
          <w:lang w:val="en-GB"/>
        </w:rPr>
      </w:pPr>
    </w:p>
    <w:p w14:paraId="6CE7C2C6" w14:textId="77777777" w:rsidR="00292B44" w:rsidRPr="003341F5" w:rsidRDefault="00292B44" w:rsidP="00292B44">
      <w:pPr>
        <w:pStyle w:val="ListParagraph"/>
        <w:rPr>
          <w:lang w:val="en-GB"/>
        </w:rPr>
      </w:pPr>
    </w:p>
    <w:p w14:paraId="248F80DD" w14:textId="77777777" w:rsidR="00292B44" w:rsidRPr="003341F5" w:rsidRDefault="00292B44" w:rsidP="00292B44">
      <w:pPr>
        <w:pStyle w:val="ListParagraph"/>
        <w:rPr>
          <w:lang w:val="en-GB"/>
        </w:rPr>
      </w:pPr>
      <w:bookmarkStart w:id="0" w:name="_GoBack"/>
      <w:bookmarkEnd w:id="0"/>
    </w:p>
    <w:p w14:paraId="304F5881" w14:textId="77777777" w:rsidR="00292B44" w:rsidRPr="003341F5" w:rsidRDefault="00292B44" w:rsidP="00292B44">
      <w:pPr>
        <w:pStyle w:val="ListParagraph"/>
        <w:rPr>
          <w:lang w:val="en-GB"/>
        </w:rPr>
      </w:pPr>
    </w:p>
    <w:p w14:paraId="6F032BDF" w14:textId="77777777" w:rsidR="00107900" w:rsidRPr="003341F5" w:rsidRDefault="00107900" w:rsidP="00107900">
      <w:pPr>
        <w:pStyle w:val="ListParagraph"/>
        <w:numPr>
          <w:ilvl w:val="0"/>
          <w:numId w:val="8"/>
        </w:numPr>
        <w:rPr>
          <w:b/>
          <w:bCs/>
        </w:rPr>
      </w:pPr>
      <w:r>
        <w:rPr>
          <w:b/>
        </w:rPr>
        <w:t>Demersuri pentru eliminarea obstacolelor juridice</w:t>
      </w:r>
    </w:p>
    <w:p w14:paraId="67B6F023" w14:textId="013E468A" w:rsidR="00107900" w:rsidRPr="003341F5" w:rsidRDefault="00107900" w:rsidP="00107900">
      <w:r>
        <w:t>Obstacolele juridice în materie de dezvăluire diferă de la o țară la alta în t</w:t>
      </w:r>
      <w:r w:rsidR="00372947">
        <w:t xml:space="preserve">extul specific al legislației. </w:t>
      </w:r>
      <w:r>
        <w:t xml:space="preserve">Totuși, în majoritatea statelor există aceleași exceptări de fond de la dezvăluire, cum ar fi informațiile obținute cu titlu confidențial, încălcarea dreptului la viață privată, încălcarea drepturilor de autor, periclitarea securității naționale și altele. </w:t>
      </w:r>
    </w:p>
    <w:p w14:paraId="70275EBB" w14:textId="77777777" w:rsidR="00107900" w:rsidRPr="003341F5" w:rsidRDefault="00107900" w:rsidP="00107900">
      <w:pPr>
        <w:rPr>
          <w:lang w:val="en-GB"/>
        </w:rPr>
      </w:pPr>
    </w:p>
    <w:p w14:paraId="316A1AFB" w14:textId="77777777" w:rsidR="00107900" w:rsidRPr="003341F5" w:rsidRDefault="00107900" w:rsidP="00107900">
      <w:r>
        <w:t xml:space="preserve">Pentru a putea depăși aceste obstacole juridice, </w:t>
      </w:r>
      <w:r>
        <w:rPr>
          <w:b/>
          <w:bCs/>
        </w:rPr>
        <w:t>recomandăm următoarele</w:t>
      </w:r>
      <w:r>
        <w:t>:</w:t>
      </w:r>
    </w:p>
    <w:p w14:paraId="4E99CA27" w14:textId="77777777" w:rsidR="00107900" w:rsidRPr="003341F5" w:rsidRDefault="00107900" w:rsidP="00107900">
      <w:pPr>
        <w:pStyle w:val="ListParagraph"/>
        <w:numPr>
          <w:ilvl w:val="0"/>
          <w:numId w:val="10"/>
        </w:numPr>
      </w:pPr>
      <w:r>
        <w:t xml:space="preserve">Pentru a aborda obstacolele ocazionate de reglementările privind protecția vieții private și GDPR, ar trebui promovată punerea în aplicare a considerentului 158 în legislația națională. Considerentul 158 a fost introdus în urma </w:t>
      </w:r>
      <w:hyperlink r:id="rId16" w:history="1">
        <w:r>
          <w:rPr>
            <w:rStyle w:val="Hyperlink"/>
          </w:rPr>
          <w:t>efortului colectiv al IHRA la nivelul UE</w:t>
        </w:r>
      </w:hyperlink>
      <w:r>
        <w:t xml:space="preserve"> de a asigura accesul la materialele legate de Holocaust.  </w:t>
      </w:r>
    </w:p>
    <w:p w14:paraId="7CED1221" w14:textId="77777777" w:rsidR="00107900" w:rsidRPr="003341F5" w:rsidRDefault="00107900" w:rsidP="00107900">
      <w:pPr>
        <w:pStyle w:val="ListParagraph"/>
        <w:numPr>
          <w:ilvl w:val="0"/>
          <w:numId w:val="10"/>
        </w:numPr>
      </w:pPr>
      <w:r>
        <w:t>Întrucât observăm că obstacolele în calea accesului la documente legate de Holocaust rezultă din legislația cu caracter general, legislația generală ar trebui modificată pentru a include o excepție specifică documentelor legate de Holocaust de la aceste cerințe generale, atât în ceea ce privește autorii, cât și victimele, într-o manieră similară celei pe care considerentul 158 o are în GDPR pentru statele membre UE.</w:t>
      </w:r>
    </w:p>
    <w:p w14:paraId="2DDD85A2" w14:textId="77777777" w:rsidR="00107900" w:rsidRPr="003341F5" w:rsidRDefault="00107900" w:rsidP="00107900">
      <w:pPr>
        <w:pStyle w:val="ListParagraph"/>
        <w:numPr>
          <w:ilvl w:val="0"/>
          <w:numId w:val="10"/>
        </w:numPr>
      </w:pPr>
      <w:r>
        <w:t xml:space="preserve">În măsura în care există marjă discreționară în legislația actuală pentru a permite excepții de la interdicțiile privind accesul, această marjă discreționară ar trebui folosită în favoarea accesului la documente legate de Holocaust, astfel cum sunt definite în </w:t>
      </w:r>
      <w:hyperlink r:id="rId17" w:history="1">
        <w:r>
          <w:rPr>
            <w:rStyle w:val="Hyperlink"/>
          </w:rPr>
          <w:t>Ghidul IHRA de identificare a documentației relevante pentru cercetarea Holocaustului, educație și memorie</w:t>
        </w:r>
      </w:hyperlink>
      <w:r>
        <w:t xml:space="preserve">. </w:t>
      </w:r>
    </w:p>
    <w:p w14:paraId="265C6541" w14:textId="1DD66AA6" w:rsidR="00496DEB" w:rsidRPr="003341F5" w:rsidRDefault="00107900" w:rsidP="00406A43">
      <w:pPr>
        <w:pStyle w:val="ListParagraph"/>
        <w:numPr>
          <w:ilvl w:val="0"/>
          <w:numId w:val="10"/>
        </w:numPr>
      </w:pPr>
      <w:r>
        <w:t>În unele sisteme parlamentare, parlamentele pot obține de la guverne documente pe care publicul nu le poate obține deoarece acestea fac excepție de la obstacole în materie de dezvăluire, ca de exemplu documente referitoare la procesele criminalilor de război</w:t>
      </w:r>
      <w:r w:rsidR="00406A43">
        <w:t xml:space="preserve">. </w:t>
      </w:r>
      <w:r>
        <w:t>Într-un astfel de caz, parlamentele ar trebui să își exercite această</w:t>
      </w:r>
      <w:r w:rsidR="00406A43" w:rsidRPr="00406A43">
        <w:t xml:space="preserve"> competență</w:t>
      </w:r>
      <w:r>
        <w:t xml:space="preserve"> pentru a obține documentele legate de Holocaust.</w:t>
      </w:r>
    </w:p>
    <w:p w14:paraId="41A53A71" w14:textId="77777777" w:rsidR="00496DEB" w:rsidRPr="003341F5" w:rsidRDefault="00496DEB" w:rsidP="00C82216">
      <w:pPr>
        <w:rPr>
          <w:lang w:val="en-GB"/>
        </w:rPr>
      </w:pPr>
    </w:p>
    <w:p w14:paraId="7ABFD3FE" w14:textId="77777777" w:rsidR="00107900" w:rsidRPr="003341F5" w:rsidRDefault="00107900" w:rsidP="00107900">
      <w:pPr>
        <w:pStyle w:val="ListParagraph"/>
        <w:numPr>
          <w:ilvl w:val="0"/>
          <w:numId w:val="8"/>
        </w:numPr>
        <w:rPr>
          <w:b/>
          <w:bCs/>
        </w:rPr>
      </w:pPr>
      <w:r>
        <w:rPr>
          <w:b/>
        </w:rPr>
        <w:t>Atenție și acțiune durabilă post-proiect pentru asigurarea accesului la arhive în cadrul IHRA</w:t>
      </w:r>
    </w:p>
    <w:p w14:paraId="2C34BA66" w14:textId="77777777" w:rsidR="00107900" w:rsidRPr="003341F5" w:rsidRDefault="00107900" w:rsidP="00107900">
      <w:r>
        <w:t xml:space="preserve">Cu arhivele ca bază și viitor pentru cercetarea Holocaustului, educație și memorie și pentru a asigura acordarea unei atenții durabile acestei chestiuni în cadrul IHRA, </w:t>
      </w:r>
      <w:r>
        <w:rPr>
          <w:b/>
          <w:bCs/>
        </w:rPr>
        <w:t>recomandăm</w:t>
      </w:r>
      <w:r>
        <w:t xml:space="preserve">: </w:t>
      </w:r>
    </w:p>
    <w:p w14:paraId="7DDFB018" w14:textId="77777777" w:rsidR="00107900" w:rsidRPr="003341F5" w:rsidRDefault="00107900" w:rsidP="00107900">
      <w:pPr>
        <w:pStyle w:val="ListParagraph"/>
        <w:numPr>
          <w:ilvl w:val="0"/>
          <w:numId w:val="11"/>
        </w:numPr>
      </w:pPr>
      <w:r>
        <w:t>Crearea unui Forum de acces la arhive în cadrul IHRA, pentru a facilita discuțiile online transversale între grupurile de lucru.</w:t>
      </w:r>
    </w:p>
    <w:p w14:paraId="09738F25" w14:textId="71BAD1A2" w:rsidR="00107900" w:rsidRPr="003341F5" w:rsidRDefault="00107900" w:rsidP="00107900">
      <w:pPr>
        <w:pStyle w:val="ListParagraph"/>
        <w:numPr>
          <w:ilvl w:val="0"/>
          <w:numId w:val="11"/>
        </w:numPr>
      </w:pPr>
      <w:r>
        <w:t xml:space="preserve">Stabilirea unui punct permanent de acces la arhive pe ordinea de zi a AWG pentru a monitoriza punerea în aplicare a acestor recomandări în cadrul </w:t>
      </w:r>
      <w:r w:rsidR="00F0781E">
        <w:t>reuniunilor</w:t>
      </w:r>
      <w:r>
        <w:t xml:space="preserve"> plenare ulterioare, precum și alte probleme nesoluționate legate de accesul la arhive.</w:t>
      </w:r>
    </w:p>
    <w:p w14:paraId="31472CD3" w14:textId="77777777" w:rsidR="00107900" w:rsidRPr="003341F5" w:rsidRDefault="00107900" w:rsidP="00107900">
      <w:pPr>
        <w:pStyle w:val="ListParagraph"/>
        <w:numPr>
          <w:ilvl w:val="0"/>
          <w:numId w:val="11"/>
        </w:numPr>
      </w:pPr>
      <w:r>
        <w:t>Ca IHRA să ia în considerare includerea unei întrebări privind accesul la arhive în Mecanismul de raportare la nivel de țară în cursul următoarei revizuiri a chestionarului, pentru a permite statelor să transmită rapoarte privind stadiul accesului.</w:t>
      </w:r>
    </w:p>
    <w:p w14:paraId="128F5ED7" w14:textId="77777777" w:rsidR="00107900" w:rsidRPr="003341F5" w:rsidRDefault="00107900" w:rsidP="00107900">
      <w:pPr>
        <w:pStyle w:val="ListParagraph"/>
        <w:numPr>
          <w:ilvl w:val="0"/>
          <w:numId w:val="11"/>
        </w:numPr>
      </w:pPr>
      <w:r>
        <w:t>Includerea de arhiviști sau experți în arhive în delegațiile naționale.</w:t>
      </w:r>
    </w:p>
    <w:p w14:paraId="21361CD3" w14:textId="7F4A49EC" w:rsidR="00496DEB" w:rsidRPr="003341F5" w:rsidRDefault="37720951" w:rsidP="00923CBC">
      <w:pPr>
        <w:pStyle w:val="ListParagraph"/>
        <w:numPr>
          <w:ilvl w:val="0"/>
          <w:numId w:val="11"/>
        </w:numPr>
      </w:pPr>
      <w:r>
        <w:t xml:space="preserve">Includerea de reprezentanți ai arhivelor de stat în </w:t>
      </w:r>
      <w:r w:rsidR="00923CBC">
        <w:t>reuniunile pregătitoare și</w:t>
      </w:r>
      <w:r w:rsidR="00923CBC" w:rsidRPr="00923CBC">
        <w:t xml:space="preserve"> plenare ale </w:t>
      </w:r>
      <w:r>
        <w:t>IHRA.</w:t>
      </w:r>
    </w:p>
    <w:sectPr w:rsidR="00496DEB" w:rsidRPr="003341F5" w:rsidSect="008B7AA6">
      <w:headerReference w:type="even" r:id="rId18"/>
      <w:headerReference w:type="default" r:id="rId19"/>
      <w:footerReference w:type="even" r:id="rId20"/>
      <w:footerReference w:type="default" r:id="rId21"/>
      <w:headerReference w:type="first" r:id="rId22"/>
      <w:footerReference w:type="first" r:id="rId23"/>
      <w:pgSz w:w="11900" w:h="16820"/>
      <w:pgMar w:top="28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C2D79" w14:textId="77777777" w:rsidR="003E6697" w:rsidRDefault="003E6697" w:rsidP="00C82216">
      <w:r>
        <w:separator/>
      </w:r>
    </w:p>
  </w:endnote>
  <w:endnote w:type="continuationSeparator" w:id="0">
    <w:p w14:paraId="1A206533" w14:textId="77777777" w:rsidR="003E6697" w:rsidRDefault="003E6697" w:rsidP="00C82216">
      <w:r>
        <w:continuationSeparator/>
      </w:r>
    </w:p>
  </w:endnote>
  <w:endnote w:type="continuationNotice" w:id="1">
    <w:p w14:paraId="3E9587A4" w14:textId="77777777" w:rsidR="003E6697" w:rsidRDefault="003E6697" w:rsidP="00C82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85889" w14:textId="77777777" w:rsidR="00980AE5" w:rsidRDefault="00980AE5" w:rsidP="00C82216">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42196F30" w14:textId="77777777" w:rsidR="00980AE5" w:rsidRDefault="00980AE5" w:rsidP="00C8221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069739"/>
      <w:docPartObj>
        <w:docPartGallery w:val="Page Numbers (Bottom of Page)"/>
        <w:docPartUnique/>
      </w:docPartObj>
    </w:sdtPr>
    <w:sdtEndPr>
      <w:rPr>
        <w:noProof/>
      </w:rPr>
    </w:sdtEndPr>
    <w:sdtContent>
      <w:p w14:paraId="697F34DE" w14:textId="77777777" w:rsidR="00132DBD" w:rsidRDefault="00132DBD" w:rsidP="00C82216">
        <w:pPr>
          <w:pStyle w:val="Footer"/>
        </w:pPr>
      </w:p>
      <w:p w14:paraId="501C160B" w14:textId="77777777" w:rsidR="00132DBD" w:rsidRDefault="00132DBD" w:rsidP="00C82216">
        <w:pPr>
          <w:pStyle w:val="Footer"/>
        </w:pPr>
      </w:p>
      <w:p w14:paraId="60868554" w14:textId="715DE5D8" w:rsidR="00833C6A" w:rsidRPr="00132DBD" w:rsidRDefault="00833C6A" w:rsidP="009F5621">
        <w:pPr>
          <w:pStyle w:val="Footer"/>
          <w:jc w:val="right"/>
        </w:pPr>
        <w:r w:rsidRPr="00132DBD">
          <w:fldChar w:fldCharType="begin"/>
        </w:r>
        <w:r w:rsidRPr="00132DBD">
          <w:instrText xml:space="preserve"> PAGE   \* MERGEFORMAT </w:instrText>
        </w:r>
        <w:r w:rsidRPr="00132DBD">
          <w:fldChar w:fldCharType="separate"/>
        </w:r>
        <w:r w:rsidR="008B7AA6">
          <w:rPr>
            <w:noProof/>
          </w:rPr>
          <w:t>5</w:t>
        </w:r>
        <w:r w:rsidRPr="00132DBD">
          <w:fldChar w:fldCharType="end"/>
        </w:r>
      </w:p>
    </w:sdtContent>
  </w:sdt>
  <w:p w14:paraId="23B5BF7C" w14:textId="5B19D60E" w:rsidR="00734D1B" w:rsidRPr="008B7AA6" w:rsidRDefault="008B7AA6" w:rsidP="00C82216">
    <w:pPr>
      <w:pStyle w:val="Footer"/>
      <w:rPr>
        <w:b/>
        <w:sz w:val="18"/>
        <w:szCs w:val="18"/>
      </w:rPr>
    </w:pPr>
    <w:r w:rsidRPr="008B7AA6">
      <w:rPr>
        <w:b/>
        <w:sz w:val="18"/>
        <w:szCs w:val="18"/>
      </w:rPr>
      <w:t>O lume ce își amintește Holocaustul. O lume fără genocid.</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DBEC5" w14:textId="77777777" w:rsidR="00833566" w:rsidRDefault="00833566">
    <w:pPr>
      <w:pStyle w:val="Footer"/>
      <w:jc w:val="right"/>
    </w:pPr>
  </w:p>
  <w:p w14:paraId="5B7C4197" w14:textId="27A90EE7" w:rsidR="00833566" w:rsidRDefault="008B7AA6">
    <w:pPr>
      <w:pStyle w:val="Footer"/>
      <w:jc w:val="right"/>
    </w:pPr>
    <w:r>
      <w:fldChar w:fldCharType="begin"/>
    </w:r>
    <w:r>
      <w:instrText xml:space="preserve"> PAGE   \* MERGEFORMAT </w:instrText>
    </w:r>
    <w:r>
      <w:fldChar w:fldCharType="separate"/>
    </w:r>
    <w:r>
      <w:rPr>
        <w:noProof/>
      </w:rPr>
      <w:t>1</w:t>
    </w:r>
    <w:r>
      <w:rPr>
        <w:noProof/>
      </w:rPr>
      <w:fldChar w:fldCharType="end"/>
    </w:r>
  </w:p>
  <w:p w14:paraId="4A7C3BCB" w14:textId="6FEB95A6" w:rsidR="00833566" w:rsidRPr="008B7AA6" w:rsidRDefault="008B7AA6" w:rsidP="008B7AA6">
    <w:pPr>
      <w:pStyle w:val="Footer"/>
      <w:rPr>
        <w:b/>
        <w:sz w:val="18"/>
        <w:szCs w:val="18"/>
      </w:rPr>
    </w:pPr>
    <w:r w:rsidRPr="008B7AA6">
      <w:rPr>
        <w:b/>
        <w:sz w:val="18"/>
        <w:szCs w:val="18"/>
      </w:rPr>
      <w:t>O lume ce își amintește Holocaustul. O lume fără genocid.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E8B8B" w14:textId="77777777" w:rsidR="003E6697" w:rsidRDefault="003E6697" w:rsidP="00C82216">
      <w:r>
        <w:separator/>
      </w:r>
    </w:p>
  </w:footnote>
  <w:footnote w:type="continuationSeparator" w:id="0">
    <w:p w14:paraId="17749072" w14:textId="77777777" w:rsidR="003E6697" w:rsidRDefault="003E6697" w:rsidP="00C82216">
      <w:r>
        <w:continuationSeparator/>
      </w:r>
    </w:p>
  </w:footnote>
  <w:footnote w:type="continuationNotice" w:id="1">
    <w:p w14:paraId="4D5FA824" w14:textId="77777777" w:rsidR="003E6697" w:rsidRDefault="003E6697" w:rsidP="00C82216"/>
  </w:footnote>
  <w:footnote w:id="2">
    <w:p w14:paraId="62E68BFD" w14:textId="77777777" w:rsidR="007508A1" w:rsidRPr="00E8017A" w:rsidRDefault="007508A1">
      <w:pPr>
        <w:pStyle w:val="FootnoteText"/>
      </w:pPr>
      <w:r>
        <w:rPr>
          <w:rStyle w:val="FootnoteReference"/>
        </w:rPr>
        <w:footnoteRef/>
      </w:r>
      <w:r>
        <w:t xml:space="preserve"> Pentru o analiză mai detaliată a modului de definire a materialelor legate de Holocaust, vă rugăm să consultați Ghidul IHRA de identificare a documentației relevante pentru cercetarea Holocaustului, educație și memorie (www.holocaustremembrance.com/findyouranswer).</w:t>
      </w:r>
    </w:p>
  </w:footnote>
  <w:footnote w:id="3">
    <w:p w14:paraId="419552A2" w14:textId="77777777" w:rsidR="004901B2" w:rsidRDefault="004901B2" w:rsidP="004901B2">
      <w:pPr>
        <w:pStyle w:val="FootnoteText"/>
      </w:pPr>
      <w:r>
        <w:rPr>
          <w:rStyle w:val="FootnoteReference"/>
        </w:rPr>
        <w:footnoteRef/>
      </w:r>
      <w:r>
        <w:t xml:space="preserve"> Cele cinci cazuri de testare se referă la colecții dedicate Holocaustului și celui de-al Doilea Război Mondial în Arhivele Crucii Roșii din Polonia și Țările de Jos, arhive din Austria, arhive din Suedia și Declasificarea și reclasificarea colecțiilor legate de Holocaust.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D5421" w14:textId="77777777" w:rsidR="00734D1B" w:rsidRDefault="00734D1B" w:rsidP="00C82216">
    <w:pPr>
      <w:pStyle w:val="Header"/>
      <w:rPr>
        <w:rStyle w:val="PageNumber"/>
      </w:rPr>
    </w:pPr>
  </w:p>
  <w:p w14:paraId="42F13DFF" w14:textId="77777777" w:rsidR="00734D1B" w:rsidRDefault="00734D1B" w:rsidP="00C82216">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p w14:paraId="3BE42878" w14:textId="77777777" w:rsidR="00734D1B" w:rsidRDefault="00734D1B" w:rsidP="00C8221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ADA7B" w14:textId="77777777" w:rsidR="00734D1B" w:rsidRDefault="00A5537D" w:rsidP="00C82216">
    <w:pPr>
      <w:pStyle w:val="Header"/>
    </w:pPr>
    <w:r>
      <w:rPr>
        <w:noProof/>
        <w:lang w:val="en-US"/>
      </w:rPr>
      <w:drawing>
        <wp:anchor distT="0" distB="0" distL="114300" distR="114300" simplePos="0" relativeHeight="251658240" behindDoc="0" locked="1" layoutInCell="1" allowOverlap="1" wp14:anchorId="0FBD4903" wp14:editId="6BA6A592">
          <wp:simplePos x="0" y="0"/>
          <wp:positionH relativeFrom="page">
            <wp:posOffset>-10795</wp:posOffset>
          </wp:positionH>
          <wp:positionV relativeFrom="paragraph">
            <wp:posOffset>79375</wp:posOffset>
          </wp:positionV>
          <wp:extent cx="7560000" cy="626400"/>
          <wp:effectExtent l="0" t="0" r="3175" b="2540"/>
          <wp:wrapSquare wrapText="bothSides"/>
          <wp:docPr id="33" name="Picture 3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Logo" descr="Text&#10;&#10;Description automatically generated"/>
                  <pic:cNvPicPr/>
                </pic:nvPicPr>
                <pic:blipFill rotWithShape="1">
                  <a:blip r:embed="rId1"/>
                  <a:srcRect t="40508"/>
                  <a:stretch/>
                </pic:blipFill>
                <pic:spPr bwMode="auto">
                  <a:xfrm>
                    <a:off x="0" y="0"/>
                    <a:ext cx="7560000" cy="62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E350E" w14:textId="77777777" w:rsidR="00700295" w:rsidRDefault="00700295" w:rsidP="00C82216">
    <w:pPr>
      <w:pStyle w:val="Header"/>
    </w:pPr>
    <w:r>
      <w:rPr>
        <w:noProof/>
        <w:lang w:val="en-US"/>
      </w:rPr>
      <w:drawing>
        <wp:anchor distT="0" distB="0" distL="114300" distR="114300" simplePos="0" relativeHeight="251656192" behindDoc="0" locked="0" layoutInCell="1" allowOverlap="1" wp14:anchorId="53278D07" wp14:editId="2F5A1D36">
          <wp:simplePos x="914400" y="461176"/>
          <wp:positionH relativeFrom="column">
            <wp:align>center</wp:align>
          </wp:positionH>
          <wp:positionV relativeFrom="paragraph">
            <wp:posOffset>79375</wp:posOffset>
          </wp:positionV>
          <wp:extent cx="2149200" cy="806400"/>
          <wp:effectExtent l="0" t="0" r="3810" b="0"/>
          <wp:wrapThrough wrapText="bothSides">
            <wp:wrapPolygon edited="0">
              <wp:start x="6319" y="0"/>
              <wp:lineTo x="0" y="2553"/>
              <wp:lineTo x="0" y="13787"/>
              <wp:lineTo x="383" y="17872"/>
              <wp:lineTo x="4596" y="20936"/>
              <wp:lineTo x="6319" y="20936"/>
              <wp:lineTo x="11872" y="20936"/>
              <wp:lineTo x="21447" y="17362"/>
              <wp:lineTo x="21447" y="10723"/>
              <wp:lineTo x="18383" y="8170"/>
              <wp:lineTo x="18957" y="4596"/>
              <wp:lineTo x="17809" y="2553"/>
              <wp:lineTo x="13979" y="0"/>
              <wp:lineTo x="6319" y="0"/>
            </wp:wrapPolygon>
          </wp:wrapThrough>
          <wp:docPr id="1370624320" name="Picture 13706243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624320"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49200" cy="80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69E"/>
    <w:multiLevelType w:val="hybridMultilevel"/>
    <w:tmpl w:val="C0B4314E"/>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01CA3F8E"/>
    <w:multiLevelType w:val="hybridMultilevel"/>
    <w:tmpl w:val="C680A19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08A149C6"/>
    <w:multiLevelType w:val="hybridMultilevel"/>
    <w:tmpl w:val="CB086E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EDD5D0F"/>
    <w:multiLevelType w:val="hybridMultilevel"/>
    <w:tmpl w:val="45D8E01C"/>
    <w:lvl w:ilvl="0" w:tplc="0C000001">
      <w:start w:val="1"/>
      <w:numFmt w:val="bullet"/>
      <w:lvlText w:val=""/>
      <w:lvlJc w:val="left"/>
      <w:pPr>
        <w:ind w:left="720" w:hanging="360"/>
      </w:pPr>
      <w:rPr>
        <w:rFonts w:ascii="Symbol" w:hAnsi="Symbol" w:hint="default"/>
      </w:rPr>
    </w:lvl>
    <w:lvl w:ilvl="1" w:tplc="4D8C7754">
      <w:start w:val="1"/>
      <w:numFmt w:val="bullet"/>
      <w:lvlText w:val="­"/>
      <w:lvlJc w:val="left"/>
      <w:pPr>
        <w:ind w:left="1440" w:hanging="360"/>
      </w:pPr>
      <w:rPr>
        <w:rFonts w:ascii="Courier New" w:hAnsi="Courier New" w:hint="default"/>
      </w:rPr>
    </w:lvl>
    <w:lvl w:ilvl="2" w:tplc="0C000005">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23E82128"/>
    <w:multiLevelType w:val="hybridMultilevel"/>
    <w:tmpl w:val="6CD8360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264C7BC0"/>
    <w:multiLevelType w:val="hybridMultilevel"/>
    <w:tmpl w:val="B29C822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33AC0C03"/>
    <w:multiLevelType w:val="hybridMultilevel"/>
    <w:tmpl w:val="AF8AF274"/>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43431F93"/>
    <w:multiLevelType w:val="hybridMultilevel"/>
    <w:tmpl w:val="F32A5B7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8" w15:restartNumberingAfterBreak="0">
    <w:nsid w:val="497257D2"/>
    <w:multiLevelType w:val="hybridMultilevel"/>
    <w:tmpl w:val="BC6C042A"/>
    <w:lvl w:ilvl="0" w:tplc="0C00000F">
      <w:start w:val="1"/>
      <w:numFmt w:val="decimal"/>
      <w:lvlText w:val="%1."/>
      <w:lvlJc w:val="left"/>
      <w:pPr>
        <w:ind w:left="720" w:hanging="360"/>
      </w:pPr>
      <w:rPr>
        <w:rFonts w:hint="default"/>
      </w:rPr>
    </w:lvl>
    <w:lvl w:ilvl="1" w:tplc="0C000019">
      <w:start w:val="1"/>
      <w:numFmt w:val="lowerLetter"/>
      <w:lvlText w:val="%2."/>
      <w:lvlJc w:val="left"/>
      <w:pPr>
        <w:ind w:left="1440" w:hanging="360"/>
      </w:pPr>
    </w:lvl>
    <w:lvl w:ilvl="2" w:tplc="0C00001B">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50120BA8"/>
    <w:multiLevelType w:val="hybridMultilevel"/>
    <w:tmpl w:val="9B5A770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543A728E"/>
    <w:multiLevelType w:val="hybridMultilevel"/>
    <w:tmpl w:val="4FE21DE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2"/>
  </w:num>
  <w:num w:numId="5">
    <w:abstractNumId w:val="10"/>
  </w:num>
  <w:num w:numId="6">
    <w:abstractNumId w:val="1"/>
  </w:num>
  <w:num w:numId="7">
    <w:abstractNumId w:val="0"/>
  </w:num>
  <w:num w:numId="8">
    <w:abstractNumId w:val="6"/>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enforcement="0"/>
  <w:defaultTabStop w:val="720"/>
  <w:hyphenationZone w:val="425"/>
  <w:characterSpacingControl w:val="doNotCompress"/>
  <w:hdrShapeDefaults>
    <o:shapedefaults v:ext="edit" spidmax="2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1B2"/>
    <w:rsid w:val="00003A66"/>
    <w:rsid w:val="00011609"/>
    <w:rsid w:val="0002245A"/>
    <w:rsid w:val="00033760"/>
    <w:rsid w:val="00050B0B"/>
    <w:rsid w:val="000770DE"/>
    <w:rsid w:val="000A3ED2"/>
    <w:rsid w:val="000A7DC3"/>
    <w:rsid w:val="000C77EA"/>
    <w:rsid w:val="000D0838"/>
    <w:rsid w:val="000E15BC"/>
    <w:rsid w:val="00107900"/>
    <w:rsid w:val="00114815"/>
    <w:rsid w:val="001210E3"/>
    <w:rsid w:val="00132DBD"/>
    <w:rsid w:val="00156D36"/>
    <w:rsid w:val="001636ED"/>
    <w:rsid w:val="00171CC6"/>
    <w:rsid w:val="00174E4E"/>
    <w:rsid w:val="001E15CD"/>
    <w:rsid w:val="001E2E1D"/>
    <w:rsid w:val="001E3ED3"/>
    <w:rsid w:val="001E5992"/>
    <w:rsid w:val="001E6E27"/>
    <w:rsid w:val="001E7783"/>
    <w:rsid w:val="00201938"/>
    <w:rsid w:val="002037DF"/>
    <w:rsid w:val="002054ED"/>
    <w:rsid w:val="0021096F"/>
    <w:rsid w:val="00215063"/>
    <w:rsid w:val="0022590E"/>
    <w:rsid w:val="0026341E"/>
    <w:rsid w:val="00276360"/>
    <w:rsid w:val="002806BE"/>
    <w:rsid w:val="00292B44"/>
    <w:rsid w:val="002931D6"/>
    <w:rsid w:val="002C43FD"/>
    <w:rsid w:val="002D0192"/>
    <w:rsid w:val="002D4629"/>
    <w:rsid w:val="002E5560"/>
    <w:rsid w:val="002E6EF5"/>
    <w:rsid w:val="002F6B1F"/>
    <w:rsid w:val="003023AF"/>
    <w:rsid w:val="00303A4D"/>
    <w:rsid w:val="00312772"/>
    <w:rsid w:val="00315858"/>
    <w:rsid w:val="0032265F"/>
    <w:rsid w:val="00332E37"/>
    <w:rsid w:val="003341F5"/>
    <w:rsid w:val="00335C89"/>
    <w:rsid w:val="00372947"/>
    <w:rsid w:val="00392C04"/>
    <w:rsid w:val="003968DD"/>
    <w:rsid w:val="003A5C7B"/>
    <w:rsid w:val="003C1DB5"/>
    <w:rsid w:val="003C7FDE"/>
    <w:rsid w:val="003E6697"/>
    <w:rsid w:val="00400059"/>
    <w:rsid w:val="0040093F"/>
    <w:rsid w:val="00406A43"/>
    <w:rsid w:val="0040793C"/>
    <w:rsid w:val="00414A03"/>
    <w:rsid w:val="0043401C"/>
    <w:rsid w:val="00451337"/>
    <w:rsid w:val="00464CDB"/>
    <w:rsid w:val="004901B2"/>
    <w:rsid w:val="00496DEB"/>
    <w:rsid w:val="00497A6F"/>
    <w:rsid w:val="004D00CC"/>
    <w:rsid w:val="005363C5"/>
    <w:rsid w:val="00554462"/>
    <w:rsid w:val="00557FC3"/>
    <w:rsid w:val="00564059"/>
    <w:rsid w:val="005B6D00"/>
    <w:rsid w:val="005C3BFC"/>
    <w:rsid w:val="005C3F62"/>
    <w:rsid w:val="005C41AB"/>
    <w:rsid w:val="005C7E89"/>
    <w:rsid w:val="005E241D"/>
    <w:rsid w:val="00634927"/>
    <w:rsid w:val="0067457C"/>
    <w:rsid w:val="00680678"/>
    <w:rsid w:val="00680E72"/>
    <w:rsid w:val="006B001A"/>
    <w:rsid w:val="006B7C34"/>
    <w:rsid w:val="006D690C"/>
    <w:rsid w:val="006E0E8D"/>
    <w:rsid w:val="00700295"/>
    <w:rsid w:val="007053F9"/>
    <w:rsid w:val="00726FD8"/>
    <w:rsid w:val="00734D1B"/>
    <w:rsid w:val="00736DAB"/>
    <w:rsid w:val="007508A1"/>
    <w:rsid w:val="00764883"/>
    <w:rsid w:val="00766E84"/>
    <w:rsid w:val="007762F8"/>
    <w:rsid w:val="00777FEA"/>
    <w:rsid w:val="0078167E"/>
    <w:rsid w:val="007937E4"/>
    <w:rsid w:val="007958DA"/>
    <w:rsid w:val="007C1364"/>
    <w:rsid w:val="007C20BE"/>
    <w:rsid w:val="007C2E59"/>
    <w:rsid w:val="007D4A82"/>
    <w:rsid w:val="007D5999"/>
    <w:rsid w:val="007F1346"/>
    <w:rsid w:val="00813FEE"/>
    <w:rsid w:val="00820FDA"/>
    <w:rsid w:val="00823D5D"/>
    <w:rsid w:val="0083134B"/>
    <w:rsid w:val="00833566"/>
    <w:rsid w:val="00833C6A"/>
    <w:rsid w:val="008436DB"/>
    <w:rsid w:val="008463C1"/>
    <w:rsid w:val="00887337"/>
    <w:rsid w:val="00895AED"/>
    <w:rsid w:val="0089619C"/>
    <w:rsid w:val="008B7AA6"/>
    <w:rsid w:val="00900A75"/>
    <w:rsid w:val="00905B5F"/>
    <w:rsid w:val="00923CBC"/>
    <w:rsid w:val="00930BF1"/>
    <w:rsid w:val="00933CC2"/>
    <w:rsid w:val="009344E7"/>
    <w:rsid w:val="00944634"/>
    <w:rsid w:val="009470D8"/>
    <w:rsid w:val="00977DD0"/>
    <w:rsid w:val="00980AE5"/>
    <w:rsid w:val="00981DB9"/>
    <w:rsid w:val="009A0FCF"/>
    <w:rsid w:val="009B3721"/>
    <w:rsid w:val="009D5D6C"/>
    <w:rsid w:val="009F5621"/>
    <w:rsid w:val="00A214F8"/>
    <w:rsid w:val="00A42930"/>
    <w:rsid w:val="00A5537D"/>
    <w:rsid w:val="00A62E50"/>
    <w:rsid w:val="00A9161A"/>
    <w:rsid w:val="00A9341D"/>
    <w:rsid w:val="00A93F55"/>
    <w:rsid w:val="00A963C8"/>
    <w:rsid w:val="00AB0AE2"/>
    <w:rsid w:val="00AB1C98"/>
    <w:rsid w:val="00AF2CEA"/>
    <w:rsid w:val="00B04A56"/>
    <w:rsid w:val="00B05E7B"/>
    <w:rsid w:val="00B3033C"/>
    <w:rsid w:val="00B47F0C"/>
    <w:rsid w:val="00B61B36"/>
    <w:rsid w:val="00B708DF"/>
    <w:rsid w:val="00B97E51"/>
    <w:rsid w:val="00BC0997"/>
    <w:rsid w:val="00BC3D13"/>
    <w:rsid w:val="00BD0A88"/>
    <w:rsid w:val="00C2274E"/>
    <w:rsid w:val="00C235D1"/>
    <w:rsid w:val="00C27067"/>
    <w:rsid w:val="00C47A32"/>
    <w:rsid w:val="00C57D66"/>
    <w:rsid w:val="00C66D4F"/>
    <w:rsid w:val="00C82216"/>
    <w:rsid w:val="00C917BC"/>
    <w:rsid w:val="00C931AB"/>
    <w:rsid w:val="00C94E82"/>
    <w:rsid w:val="00CA3763"/>
    <w:rsid w:val="00CD2B60"/>
    <w:rsid w:val="00CD4040"/>
    <w:rsid w:val="00CE0E31"/>
    <w:rsid w:val="00CE6203"/>
    <w:rsid w:val="00D21A37"/>
    <w:rsid w:val="00D44525"/>
    <w:rsid w:val="00D52175"/>
    <w:rsid w:val="00D55F0D"/>
    <w:rsid w:val="00D82B98"/>
    <w:rsid w:val="00DA32C7"/>
    <w:rsid w:val="00DD0904"/>
    <w:rsid w:val="00DF6107"/>
    <w:rsid w:val="00E113C9"/>
    <w:rsid w:val="00E177C5"/>
    <w:rsid w:val="00E20288"/>
    <w:rsid w:val="00E56BE5"/>
    <w:rsid w:val="00E8017A"/>
    <w:rsid w:val="00EA0EA8"/>
    <w:rsid w:val="00EB7BC3"/>
    <w:rsid w:val="00ED059F"/>
    <w:rsid w:val="00EE1184"/>
    <w:rsid w:val="00EE5713"/>
    <w:rsid w:val="00EE5FE4"/>
    <w:rsid w:val="00F0261F"/>
    <w:rsid w:val="00F0781E"/>
    <w:rsid w:val="00F07C95"/>
    <w:rsid w:val="00F3250B"/>
    <w:rsid w:val="00F345A4"/>
    <w:rsid w:val="00F5449A"/>
    <w:rsid w:val="00F73C19"/>
    <w:rsid w:val="00F83FB7"/>
    <w:rsid w:val="00F87701"/>
    <w:rsid w:val="00F90D38"/>
    <w:rsid w:val="00FB3208"/>
    <w:rsid w:val="2276D14A"/>
    <w:rsid w:val="2BD9BAAE"/>
    <w:rsid w:val="37720951"/>
    <w:rsid w:val="58F462E9"/>
    <w:rsid w:val="5CF5BAE1"/>
    <w:rsid w:val="6C8FDE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6E3D67AC"/>
  <w15:chartTrackingRefBased/>
  <w15:docId w15:val="{3D0A3A5F-8205-42FD-9102-6B8806F3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216"/>
    <w:pPr>
      <w:spacing w:after="120" w:line="276" w:lineRule="auto"/>
    </w:pPr>
    <w:rPr>
      <w:rFonts w:ascii="Arial" w:hAnsi="Arial" w:cs="Arial"/>
      <w:sz w:val="22"/>
      <w:szCs w:val="22"/>
    </w:rPr>
  </w:style>
  <w:style w:type="paragraph" w:styleId="Heading1">
    <w:name w:val="heading 1"/>
    <w:basedOn w:val="Normal"/>
    <w:next w:val="Normal"/>
    <w:link w:val="Heading1Char"/>
    <w:uiPriority w:val="9"/>
    <w:qFormat/>
    <w:rsid w:val="00C82216"/>
    <w:pPr>
      <w:outlineLvl w:val="0"/>
    </w:pPr>
    <w:rPr>
      <w:b/>
      <w:bCs/>
      <w:sz w:val="26"/>
      <w:szCs w:val="26"/>
    </w:rPr>
  </w:style>
  <w:style w:type="paragraph" w:styleId="Heading2">
    <w:name w:val="heading 2"/>
    <w:basedOn w:val="Normal"/>
    <w:next w:val="Normal"/>
    <w:link w:val="Heading2Char"/>
    <w:uiPriority w:val="9"/>
    <w:unhideWhenUsed/>
    <w:qFormat/>
    <w:rsid w:val="00C82216"/>
    <w:pPr>
      <w:outlineLvl w:val="1"/>
    </w:pPr>
    <w:rPr>
      <w:b/>
      <w:bCs/>
      <w:sz w:val="24"/>
      <w:szCs w:val="24"/>
    </w:rPr>
  </w:style>
  <w:style w:type="paragraph" w:styleId="Heading3">
    <w:name w:val="heading 3"/>
    <w:basedOn w:val="Normal"/>
    <w:next w:val="Normal"/>
    <w:link w:val="Heading3Char"/>
    <w:uiPriority w:val="9"/>
    <w:unhideWhenUsed/>
    <w:qFormat/>
    <w:rsid w:val="00C82216"/>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4D1B"/>
    <w:pPr>
      <w:tabs>
        <w:tab w:val="center" w:pos="4680"/>
        <w:tab w:val="right" w:pos="9360"/>
      </w:tabs>
    </w:pPr>
  </w:style>
  <w:style w:type="character" w:customStyle="1" w:styleId="HeaderChar">
    <w:name w:val="Header Char"/>
    <w:basedOn w:val="DefaultParagraphFont"/>
    <w:link w:val="Header"/>
    <w:uiPriority w:val="99"/>
    <w:rsid w:val="00734D1B"/>
    <w:rPr>
      <w:rFonts w:eastAsiaTheme="minorEastAsia"/>
    </w:rPr>
  </w:style>
  <w:style w:type="paragraph" w:styleId="Footer">
    <w:name w:val="footer"/>
    <w:basedOn w:val="Normal"/>
    <w:link w:val="FooterChar"/>
    <w:uiPriority w:val="99"/>
    <w:unhideWhenUsed/>
    <w:rsid w:val="00734D1B"/>
    <w:pPr>
      <w:tabs>
        <w:tab w:val="center" w:pos="4680"/>
        <w:tab w:val="right" w:pos="9360"/>
      </w:tabs>
    </w:pPr>
  </w:style>
  <w:style w:type="character" w:customStyle="1" w:styleId="FooterChar">
    <w:name w:val="Footer Char"/>
    <w:basedOn w:val="DefaultParagraphFont"/>
    <w:link w:val="Footer"/>
    <w:uiPriority w:val="99"/>
    <w:rsid w:val="00734D1B"/>
    <w:rPr>
      <w:rFonts w:eastAsiaTheme="minorEastAsia"/>
    </w:rPr>
  </w:style>
  <w:style w:type="character" w:styleId="PageNumber">
    <w:name w:val="page number"/>
    <w:basedOn w:val="DefaultParagraphFont"/>
    <w:uiPriority w:val="99"/>
    <w:semiHidden/>
    <w:unhideWhenUsed/>
    <w:rsid w:val="00734D1B"/>
  </w:style>
  <w:style w:type="table" w:styleId="TableGrid">
    <w:name w:val="Table Grid"/>
    <w:basedOn w:val="TableNormal"/>
    <w:uiPriority w:val="39"/>
    <w:rsid w:val="009D5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1DB9"/>
    <w:pPr>
      <w:ind w:left="720"/>
      <w:contextualSpacing/>
    </w:pPr>
  </w:style>
  <w:style w:type="character" w:customStyle="1" w:styleId="Heading1Char">
    <w:name w:val="Heading 1 Char"/>
    <w:basedOn w:val="DefaultParagraphFont"/>
    <w:link w:val="Heading1"/>
    <w:uiPriority w:val="9"/>
    <w:rsid w:val="00C82216"/>
    <w:rPr>
      <w:rFonts w:ascii="Arial" w:eastAsiaTheme="minorEastAsia" w:hAnsi="Arial" w:cs="Arial"/>
      <w:b/>
      <w:bCs/>
      <w:sz w:val="26"/>
      <w:szCs w:val="26"/>
    </w:rPr>
  </w:style>
  <w:style w:type="character" w:customStyle="1" w:styleId="Heading2Char">
    <w:name w:val="Heading 2 Char"/>
    <w:basedOn w:val="DefaultParagraphFont"/>
    <w:link w:val="Heading2"/>
    <w:uiPriority w:val="9"/>
    <w:rsid w:val="00C82216"/>
    <w:rPr>
      <w:rFonts w:ascii="Arial" w:hAnsi="Arial" w:cs="Arial"/>
      <w:b/>
      <w:bCs/>
    </w:rPr>
  </w:style>
  <w:style w:type="character" w:customStyle="1" w:styleId="Heading3Char">
    <w:name w:val="Heading 3 Char"/>
    <w:basedOn w:val="DefaultParagraphFont"/>
    <w:link w:val="Heading3"/>
    <w:uiPriority w:val="9"/>
    <w:rsid w:val="00C82216"/>
    <w:rPr>
      <w:rFonts w:ascii="Arial" w:hAnsi="Arial" w:cs="Arial"/>
      <w:b/>
      <w:bCs/>
      <w:sz w:val="22"/>
      <w:szCs w:val="22"/>
    </w:rPr>
  </w:style>
  <w:style w:type="paragraph" w:styleId="FootnoteText">
    <w:name w:val="footnote text"/>
    <w:basedOn w:val="Normal"/>
    <w:link w:val="FootnoteTextChar"/>
    <w:uiPriority w:val="99"/>
    <w:semiHidden/>
    <w:unhideWhenUsed/>
    <w:rsid w:val="004901B2"/>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4901B2"/>
    <w:rPr>
      <w:rFonts w:ascii="Calibri" w:eastAsia="Calibri" w:hAnsi="Calibri" w:cs="Calibri"/>
      <w:sz w:val="20"/>
      <w:szCs w:val="20"/>
    </w:rPr>
  </w:style>
  <w:style w:type="character" w:styleId="FootnoteReference">
    <w:name w:val="footnote reference"/>
    <w:basedOn w:val="DefaultParagraphFont"/>
    <w:uiPriority w:val="99"/>
    <w:semiHidden/>
    <w:unhideWhenUsed/>
    <w:rsid w:val="004901B2"/>
    <w:rPr>
      <w:vertAlign w:val="superscript"/>
    </w:rPr>
  </w:style>
  <w:style w:type="character" w:styleId="Hyperlink">
    <w:name w:val="Hyperlink"/>
    <w:basedOn w:val="DefaultParagraphFont"/>
    <w:uiPriority w:val="99"/>
    <w:unhideWhenUsed/>
    <w:rsid w:val="004901B2"/>
    <w:rPr>
      <w:color w:val="0563C1" w:themeColor="hyperlink"/>
      <w:u w:val="single"/>
    </w:rPr>
  </w:style>
  <w:style w:type="character" w:customStyle="1" w:styleId="UnresolvedMention">
    <w:name w:val="Unresolved Mention"/>
    <w:basedOn w:val="DefaultParagraphFont"/>
    <w:uiPriority w:val="99"/>
    <w:semiHidden/>
    <w:unhideWhenUsed/>
    <w:rsid w:val="004901B2"/>
    <w:rPr>
      <w:color w:val="605E5C"/>
      <w:shd w:val="clear" w:color="auto" w:fill="E1DFDD"/>
    </w:rPr>
  </w:style>
  <w:style w:type="paragraph" w:styleId="Revision">
    <w:name w:val="Revision"/>
    <w:hidden/>
    <w:uiPriority w:val="99"/>
    <w:semiHidden/>
    <w:rsid w:val="00D82B98"/>
    <w:rPr>
      <w:rFonts w:ascii="Arial" w:hAnsi="Arial" w:cs="Arial"/>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sid w:val="0076488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64883"/>
    <w:rPr>
      <w:b/>
      <w:bCs/>
    </w:rPr>
  </w:style>
  <w:style w:type="character" w:customStyle="1" w:styleId="CommentSubjectChar">
    <w:name w:val="Comment Subject Char"/>
    <w:basedOn w:val="CommentTextChar"/>
    <w:link w:val="CommentSubject"/>
    <w:uiPriority w:val="99"/>
    <w:semiHidden/>
    <w:rsid w:val="00764883"/>
    <w:rPr>
      <w:rFonts w:ascii="Arial" w:hAnsi="Arial" w:cs="Arial"/>
      <w:b/>
      <w:bCs/>
      <w:sz w:val="20"/>
      <w:szCs w:val="20"/>
    </w:rPr>
  </w:style>
  <w:style w:type="paragraph" w:styleId="BalloonText">
    <w:name w:val="Balloon Text"/>
    <w:basedOn w:val="Normal"/>
    <w:link w:val="BalloonTextChar"/>
    <w:uiPriority w:val="99"/>
    <w:semiHidden/>
    <w:unhideWhenUsed/>
    <w:rsid w:val="000D08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8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40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olocaustremembrance.com/resources/working-definitions-charters/working-definition-holocaust-related-material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holocaustremembrance.com/stories/reference-holocaust-gdpr" TargetMode="External"/><Relationship Id="rId17" Type="http://schemas.openxmlformats.org/officeDocument/2006/relationships/hyperlink" Target="https://www.holocaustremembrance.com/resources/reports/guidelines-archival-document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olocaustremembrance.com/stories/reference-holocaust-gdp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olocaustremembrance.com/sites/default/files/2021-09/IHRA%20Multi-Year%20Work%20Plan%20on%20%20Archival%20Access_Final%20Report%20and%20%20Recommendations.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olocaustremembrance.com/resources/reports/guidelines-archival-documentation"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hri-project.eu/"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Harshman\Desktop\IHRA%20General%20Document_Vision%20Statement%20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785ccd-30d0-49d8-87de-5d8dd1bc06ba" xsi:nil="true"/>
    <lcf76f155ced4ddcb4097134ff3c332f xmlns="d410d265-0abf-4972-8e24-54d1f35cf936">
      <Terms xmlns="http://schemas.microsoft.com/office/infopath/2007/PartnerControls"/>
    </lcf76f155ced4ddcb4097134ff3c332f>
    <Notes xmlns="d410d265-0abf-4972-8e24-54d1f35cf936" xsi:nil="true"/>
    <SharedWithUsers xmlns="35277655-fc01-49c2-ad12-cf202b570841">
      <UserInfo>
        <DisplayName>Rebecca  Bamberger</DisplayName>
        <AccountId>381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1F97DD6959D3469A783FA34A6A1569" ma:contentTypeVersion="23" ma:contentTypeDescription="Create a new document." ma:contentTypeScope="" ma:versionID="7bf14b1c439b1a8b55f72f5070b02cf3">
  <xsd:schema xmlns:xsd="http://www.w3.org/2001/XMLSchema" xmlns:xs="http://www.w3.org/2001/XMLSchema" xmlns:p="http://schemas.microsoft.com/office/2006/metadata/properties" xmlns:ns2="d410d265-0abf-4972-8e24-54d1f35cf936" xmlns:ns3="2c785ccd-30d0-49d8-87de-5d8dd1bc06ba" xmlns:ns4="35277655-fc01-49c2-ad12-cf202b570841" targetNamespace="http://schemas.microsoft.com/office/2006/metadata/properties" ma:root="true" ma:fieldsID="deff2f11ece0b69a712ff27ae12afe44" ns2:_="" ns3:_="" ns4:_="">
    <xsd:import namespace="d410d265-0abf-4972-8e24-54d1f35cf936"/>
    <xsd:import namespace="2c785ccd-30d0-49d8-87de-5d8dd1bc06ba"/>
    <xsd:import namespace="35277655-fc01-49c2-ad12-cf202b570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ServiceLocation" minOccurs="0"/>
                <xsd:element ref="ns2:MediaServiceSearchProperties" minOccurs="0"/>
                <xsd:element ref="ns2:MediaLengthInSecond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0d265-0abf-4972-8e24-54d1f35cf9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804cb3-5691-4436-9e62-0e12b6d4a1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Notes" ma:index="25"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785ccd-30d0-49d8-87de-5d8dd1bc06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ebeb31-4ebb-4532-a9ac-7724551b94e4}" ma:internalName="TaxCatchAll" ma:showField="CatchAllData" ma:web="35277655-fc01-49c2-ad12-cf202b5708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277655-fc01-49c2-ad12-cf202b5708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D479A-719D-446E-ABA0-34998F8E7D83}">
  <ds:schemaRefs>
    <ds:schemaRef ds:uri="http://schemas.microsoft.com/office/2006/metadata/properties"/>
    <ds:schemaRef ds:uri="http://schemas.microsoft.com/office/infopath/2007/PartnerControls"/>
    <ds:schemaRef ds:uri="2c785ccd-30d0-49d8-87de-5d8dd1bc06ba"/>
    <ds:schemaRef ds:uri="d410d265-0abf-4972-8e24-54d1f35cf936"/>
    <ds:schemaRef ds:uri="35277655-fc01-49c2-ad12-cf202b570841"/>
  </ds:schemaRefs>
</ds:datastoreItem>
</file>

<file path=customXml/itemProps2.xml><?xml version="1.0" encoding="utf-8"?>
<ds:datastoreItem xmlns:ds="http://schemas.openxmlformats.org/officeDocument/2006/customXml" ds:itemID="{CDDC9B90-9A50-4B2E-B04D-0B1939E0E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0d265-0abf-4972-8e24-54d1f35cf936"/>
    <ds:schemaRef ds:uri="2c785ccd-30d0-49d8-87de-5d8dd1bc06ba"/>
    <ds:schemaRef ds:uri="35277655-fc01-49c2-ad12-cf202b570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BC044D-36FF-4CAC-B302-6C9E4F659BCB}">
  <ds:schemaRefs>
    <ds:schemaRef ds:uri="http://schemas.microsoft.com/sharepoint/v3/contenttype/forms"/>
  </ds:schemaRefs>
</ds:datastoreItem>
</file>

<file path=customXml/itemProps4.xml><?xml version="1.0" encoding="utf-8"?>
<ds:datastoreItem xmlns:ds="http://schemas.openxmlformats.org/officeDocument/2006/customXml" ds:itemID="{26513E94-69E0-40DA-9C25-F7C1E8AFC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IHRA General Document_Vision Statement Footer.dotx</Template>
  <TotalTime>161</TotalTime>
  <Pages>5</Pages>
  <Words>1753</Words>
  <Characters>9996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Harshman</dc:creator>
  <cp:keywords/>
  <dc:description/>
  <cp:lastModifiedBy>Laura Mihailescu</cp:lastModifiedBy>
  <cp:revision>14</cp:revision>
  <dcterms:created xsi:type="dcterms:W3CDTF">2024-05-08T12:44:00Z</dcterms:created>
  <dcterms:modified xsi:type="dcterms:W3CDTF">2024-05-31T13:58:00Z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0x010100E51F97DD6959D3469A783FA34A6A1569</vt:lpwstr>
  </property>
  <property fmtid="{D5CDD505-2E9C-101B-9397-08002B2CF9AE}" pid="3" name="MediaServiceImageTags">
    <vt:lpwstr/>
  </property>
</Properties>
</file>